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CC2222"/>
          <w:spacing w:val="40"/>
          <w:sz w:val="18"/>
          <w:szCs w:val="18"/>
        </w:rPr>
        <w:t xml:space="preserve">WE LEAD PROJECTS</w:t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2D1A1A"/>
          <w:sz w:val="56"/>
          <w:szCs w:val="56"/>
        </w:rPr>
        <w:t xml:space="preserve">IT-strategi</w:t>
      </w:r>
    </w:p>
    <w:p>
      <w:pPr>
        <w:spacing w:after="360"/>
      </w:pPr>
      <w:r>
        <w:rPr>
          <w:rFonts w:ascii="Calibri" w:cs="Calibri" w:eastAsia="Calibri" w:hAnsi="Calibri"/>
          <w:color w:val="6B5F5F"/>
          <w:sz w:val="24"/>
          <w:szCs w:val="24"/>
        </w:rPr>
        <w:t xml:space="preserve">[Virksomhed] · på én side</w:t>
      </w:r>
    </w:p>
    <w:tbl>
      <w:tblPr>
        <w:tblW w:type="pct" w:w="100%"/>
        <w:tblBorders>
          <w:top w:val="single" w:color="E8E0E0" w:sz="4"/>
          <w:left w:val="single" w:color="E8E0E0" w:sz="4"/>
          <w:bottom w:val="single" w:color="E8E0E0" w:sz="4"/>
          <w:right w:val="single" w:color="E8E0E0" w:sz="4"/>
          <w:insideH w:val="single" w:color="E8E0E0" w:sz="4"/>
          <w:insideV w:val="single" w:color="E8E0E0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5%"/>
            <w:shd w:fill="1C254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Felt</w:t>
            </w:r>
          </w:p>
        </w:tc>
        <w:tc>
          <w:tcPr>
            <w:tcW w:type="pct" w:w="65%"/>
            <w:shd w:fill="1C254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Udfyld</w:t>
            </w:r>
          </w:p>
        </w:tc>
      </w:tr>
      <w:tr>
        <w:tc>
          <w:tcPr>
            <w:tcW w:type="pct" w:w="3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Godkendt af (direktion)</w:t>
            </w:r>
          </w:p>
        </w:tc>
        <w:tc>
          <w:tcPr>
            <w:tcW w:type="pct" w:w="6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3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Ejer (CIO eller IT-chef)</w:t>
            </w:r>
          </w:p>
        </w:tc>
        <w:tc>
          <w:tcPr>
            <w:tcW w:type="pct" w:w="6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3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Version</w:t>
            </w:r>
          </w:p>
        </w:tc>
        <w:tc>
          <w:tcPr>
            <w:tcW w:type="pct" w:w="6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3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Dato</w:t>
            </w:r>
          </w:p>
        </w:tc>
        <w:tc>
          <w:tcPr>
            <w:tcW w:type="pct" w:w="6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3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Næste revision</w:t>
            </w:r>
          </w:p>
        </w:tc>
        <w:tc>
          <w:tcPr>
            <w:tcW w:type="pct" w:w="6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/>
            </w:r>
          </w:p>
        </w:tc>
      </w:tr>
    </w:tbl>
    <w:p>
      <w:pPr>
        <w:spacing w:after="200"/>
      </w:pPr>
    </w:p>
    <w:tbl>
      <w:tblPr>
        <w:tblW w:type="pct" w:w="100%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00"/>
      </w:tblGrid>
      <w:tr>
        <w:tc>
          <w:tcPr>
            <w:shd w:fill="F7F5F5" w:color="auto" w:val="clear"/>
            <w:tcMar>
              <w:top w:type="dxa" w:w="200"/>
              <w:left w:type="dxa" w:w="240"/>
              <w:bottom w:type="dxa" w:w="200"/>
              <w:right w:type="dxa" w:w="240"/>
            </w:tcMar>
          </w:tcPr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CC2222"/>
                <w:sz w:val="22"/>
                <w:szCs w:val="22"/>
              </w:rPr>
              <w:t xml:space="preserve">Sådan bruger I skabelonen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color w:val="2D1A1A"/>
                <w:sz w:val="20"/>
                <w:szCs w:val="20"/>
              </w:rPr>
              <w:t xml:space="preserve">Strategien har tre lag: en north star (3-5 år), en målarkitektur (12-24 måneder) og en roadmap (kvartaler). Hold den kort nok til, at direktionen læser den.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color w:val="2D1A1A"/>
                <w:sz w:val="20"/>
                <w:szCs w:val="20"/>
              </w:rPr>
              <w:t xml:space="preserve">Den vigtigste linje er den, der siger, hvad I holder op med. Det er den, der frigør tid og penge til resten.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color w:val="2D1A1A"/>
                <w:sz w:val="20"/>
                <w:szCs w:val="20"/>
              </w:rPr>
              <w:t xml:space="preserve">Mere om IT-strategi: weleadprojects.com/ydelser/enterprise-architecture/it-strategi</w:t>
            </w:r>
          </w:p>
        </w:tc>
      </w:tr>
    </w:tbl>
    <w:p>
      <w:pPr>
        <w:pStyle w:val="Heading1"/>
        <w:spacing w:after="120" w:before="360"/>
      </w:pPr>
      <w:r>
        <w:rPr>
          <w:rFonts w:ascii="Calibri" w:cs="Calibri" w:eastAsia="Calibri" w:hAnsi="Calibri"/>
          <w:b/>
          <w:bCs/>
          <w:color w:val="2D1A1A"/>
          <w:sz w:val="30"/>
          <w:szCs w:val="30"/>
        </w:rPr>
        <w:t xml:space="preserve">1. North star (3-5 år)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6B5F5F"/>
          <w:sz w:val="19"/>
          <w:szCs w:val="19"/>
        </w:rPr>
        <w:t xml:space="preserve">Spørgsmål: </w:t>
      </w:r>
      <w:r>
        <w:rPr>
          <w:rFonts w:ascii="Calibri" w:cs="Calibri" w:eastAsia="Calibri" w:hAnsi="Calibri"/>
          <w:i/>
          <w:iCs/>
          <w:color w:val="6B5F5F"/>
          <w:sz w:val="19"/>
          <w:szCs w:val="19"/>
        </w:rPr>
        <w:t xml:space="preserve">Hvor skal forretningen hen og hvad betyder det for IT?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6B5F5F"/>
          <w:sz w:val="19"/>
          <w:szCs w:val="19"/>
        </w:rPr>
        <w:t xml:space="preserve">Eksempel: </w:t>
      </w:r>
      <w:r>
        <w:rPr>
          <w:rFonts w:ascii="Calibri" w:cs="Calibri" w:eastAsia="Calibri" w:hAnsi="Calibri"/>
          <w:i/>
          <w:iCs/>
          <w:color w:val="6B5F5F"/>
          <w:sz w:val="19"/>
          <w:szCs w:val="19"/>
        </w:rPr>
        <w:t xml:space="preserve">Én fælles platform for økonomi og produktion inden for fem år, så nye selskaber kan integreres på måneder i stedet for år.</w:t>
      </w:r>
    </w:p>
    <w:p>
      <w:pPr>
        <w:spacing w:after="240"/>
      </w:pPr>
      <w:r>
        <w:rPr>
          <w:rFonts w:ascii="Calibri" w:cs="Calibri" w:eastAsia="Calibri" w:hAnsi="Calibri"/>
          <w:color w:val="9A9090"/>
          <w:sz w:val="22"/>
          <w:szCs w:val="22"/>
        </w:rPr>
        <w:t xml:space="preserve">[Skriv her]</w:t>
      </w:r>
    </w:p>
    <w:p>
      <w:pPr>
        <w:pStyle w:val="Heading1"/>
        <w:spacing w:after="120" w:before="360"/>
      </w:pPr>
      <w:r>
        <w:rPr>
          <w:rFonts w:ascii="Calibri" w:cs="Calibri" w:eastAsia="Calibri" w:hAnsi="Calibri"/>
          <w:b/>
          <w:bCs/>
          <w:color w:val="2D1A1A"/>
          <w:sz w:val="30"/>
          <w:szCs w:val="30"/>
        </w:rPr>
        <w:t xml:space="preserve">2. Arkitekturprincipper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6B5F5F"/>
          <w:sz w:val="19"/>
          <w:szCs w:val="19"/>
        </w:rPr>
        <w:t xml:space="preserve">Spørgsmål: </w:t>
      </w:r>
      <w:r>
        <w:rPr>
          <w:rFonts w:ascii="Calibri" w:cs="Calibri" w:eastAsia="Calibri" w:hAnsi="Calibri"/>
          <w:i/>
          <w:iCs/>
          <w:color w:val="6B5F5F"/>
          <w:sz w:val="19"/>
          <w:szCs w:val="19"/>
        </w:rPr>
        <w:t xml:space="preserve">Hvilke principper skal afgøre konkrete sager? Et princip, der ikke kan sige nej til noget, er ikke et princip.</w:t>
      </w:r>
    </w:p>
    <w:tbl>
      <w:tblPr>
        <w:tblW w:type="pct" w:w="100%"/>
        <w:tblBorders>
          <w:top w:val="single" w:color="E8E0E0" w:sz="4"/>
          <w:left w:val="single" w:color="E8E0E0" w:sz="4"/>
          <w:bottom w:val="single" w:color="E8E0E0" w:sz="4"/>
          <w:right w:val="single" w:color="E8E0E0" w:sz="4"/>
          <w:insideH w:val="single" w:color="E8E0E0" w:sz="4"/>
          <w:insideV w:val="single" w:color="E8E0E0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24%"/>
            <w:shd w:fill="1C254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Princip</w:t>
            </w:r>
          </w:p>
        </w:tc>
        <w:tc>
          <w:tcPr>
            <w:tcW w:type="pct" w:w="50%"/>
            <w:shd w:fill="1C254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Hvad det betyder</w:t>
            </w:r>
          </w:p>
        </w:tc>
        <w:tc>
          <w:tcPr>
            <w:tcW w:type="pct" w:w="26%"/>
            <w:shd w:fill="1C254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Hvad det siger nej til</w:t>
            </w:r>
          </w:p>
        </w:tc>
      </w:tr>
      <w:tr>
        <w:tc>
          <w:tcPr>
            <w:tcW w:type="pct" w:w="24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Køb før byg</w:t>
            </w:r>
          </w:p>
        </w:tc>
        <w:tc>
          <w:tcPr>
            <w:tcW w:type="pct" w:w="5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Vi køber standardsystemer og tilpasser processen, før vi udvikler selv. Undtagelsen er det, der adskiller os fra konkurrenterne.</w:t>
            </w:r>
          </w:p>
        </w:tc>
        <w:tc>
          <w:tcPr>
            <w:tcW w:type="pct" w:w="26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24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Én kilde til hver type data</w:t>
            </w:r>
          </w:p>
        </w:tc>
        <w:tc>
          <w:tcPr>
            <w:tcW w:type="pct" w:w="5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Kunder, produkter og medarbejdere har hver ét system, der ejer data. Alle andre systemer henter derfra.</w:t>
            </w:r>
          </w:p>
        </w:tc>
        <w:tc>
          <w:tcPr>
            <w:tcW w:type="pct" w:w="26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24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Cloud som standard</w:t>
            </w:r>
          </w:p>
        </w:tc>
        <w:tc>
          <w:tcPr>
            <w:tcW w:type="pct" w:w="5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Nye systemer kører som SaaS eller i cloud, medmindre der er en dokumenteret grund til andet.</w:t>
            </w:r>
          </w:p>
        </w:tc>
        <w:tc>
          <w:tcPr>
            <w:tcW w:type="pct" w:w="26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24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Integration gennem et fælles lag</w:t>
            </w:r>
          </w:p>
        </w:tc>
        <w:tc>
          <w:tcPr>
            <w:tcW w:type="pct" w:w="5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Systemerne taler sammen gennem en fælles integrationsplatform, ikke direkte punkt til punkt.</w:t>
            </w:r>
          </w:p>
        </w:tc>
        <w:tc>
          <w:tcPr>
            <w:tcW w:type="pct" w:w="26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24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/>
            </w:r>
          </w:p>
        </w:tc>
        <w:tc>
          <w:tcPr>
            <w:tcW w:type="pct" w:w="5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/>
            </w:r>
          </w:p>
        </w:tc>
        <w:tc>
          <w:tcPr>
            <w:tcW w:type="pct" w:w="26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24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/>
            </w:r>
          </w:p>
        </w:tc>
        <w:tc>
          <w:tcPr>
            <w:tcW w:type="pct" w:w="5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/>
            </w:r>
          </w:p>
        </w:tc>
        <w:tc>
          <w:tcPr>
            <w:tcW w:type="pct" w:w="26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360"/>
      </w:pPr>
      <w:r>
        <w:rPr>
          <w:rFonts w:ascii="Calibri" w:cs="Calibri" w:eastAsia="Calibri" w:hAnsi="Calibri"/>
          <w:b/>
          <w:bCs/>
          <w:color w:val="2D1A1A"/>
          <w:sz w:val="30"/>
          <w:szCs w:val="30"/>
        </w:rPr>
        <w:t xml:space="preserve">3. Det holder vi op med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6B5F5F"/>
          <w:sz w:val="19"/>
          <w:szCs w:val="19"/>
        </w:rPr>
        <w:t xml:space="preserve">Spørgsmål: </w:t>
      </w:r>
      <w:r>
        <w:rPr>
          <w:rFonts w:ascii="Calibri" w:cs="Calibri" w:eastAsia="Calibri" w:hAnsi="Calibri"/>
          <w:i/>
          <w:iCs/>
          <w:color w:val="6B5F5F"/>
          <w:sz w:val="19"/>
          <w:szCs w:val="19"/>
        </w:rPr>
        <w:t xml:space="preserve">Hvad stopper I, så der bliver plads til det nye?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6B5F5F"/>
          <w:sz w:val="19"/>
          <w:szCs w:val="19"/>
        </w:rPr>
        <w:t xml:space="preserve">Eksempel: </w:t>
      </w:r>
      <w:r>
        <w:rPr>
          <w:rFonts w:ascii="Calibri" w:cs="Calibri" w:eastAsia="Calibri" w:hAnsi="Calibri"/>
          <w:i/>
          <w:iCs/>
          <w:color w:val="6B5F5F"/>
          <w:sz w:val="19"/>
          <w:szCs w:val="19"/>
        </w:rPr>
        <w:t xml:space="preserve">Vi holder op med at tilpasse standardsystemer. Vi holder op med at bygge nye punkt til punkt-integrationer.</w:t>
      </w:r>
    </w:p>
    <w:p>
      <w:pPr>
        <w:spacing w:after="240"/>
      </w:pPr>
      <w:r>
        <w:rPr>
          <w:rFonts w:ascii="Calibri" w:cs="Calibri" w:eastAsia="Calibri" w:hAnsi="Calibri"/>
          <w:color w:val="9A9090"/>
          <w:sz w:val="22"/>
          <w:szCs w:val="22"/>
        </w:rPr>
        <w:t xml:space="preserve">[Skriv her]</w:t>
      </w:r>
    </w:p>
    <w:p>
      <w:pPr>
        <w:pStyle w:val="Heading1"/>
        <w:spacing w:after="120" w:before="360"/>
      </w:pPr>
      <w:r>
        <w:rPr>
          <w:rFonts w:ascii="Calibri" w:cs="Calibri" w:eastAsia="Calibri" w:hAnsi="Calibri"/>
          <w:b/>
          <w:bCs/>
          <w:color w:val="2D1A1A"/>
          <w:sz w:val="30"/>
          <w:szCs w:val="30"/>
        </w:rPr>
        <w:t xml:space="preserve">4. Målarkitektur (12-24 måneder)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6B5F5F"/>
          <w:sz w:val="19"/>
          <w:szCs w:val="19"/>
        </w:rPr>
        <w:t xml:space="preserve">Spørgsmål: </w:t>
      </w:r>
      <w:r>
        <w:rPr>
          <w:rFonts w:ascii="Calibri" w:cs="Calibri" w:eastAsia="Calibri" w:hAnsi="Calibri"/>
          <w:i/>
          <w:iCs/>
          <w:color w:val="6B5F5F"/>
          <w:sz w:val="19"/>
          <w:szCs w:val="19"/>
        </w:rPr>
        <w:t xml:space="preserve">Hvordan skal systemlandskabet se ud, når vi er der?</w:t>
      </w:r>
    </w:p>
    <w:tbl>
      <w:tblPr>
        <w:tblW w:type="pct" w:w="100%"/>
        <w:tblBorders>
          <w:top w:val="single" w:color="E8E0E0" w:sz="4"/>
          <w:left w:val="single" w:color="E8E0E0" w:sz="4"/>
          <w:bottom w:val="single" w:color="E8E0E0" w:sz="4"/>
          <w:right w:val="single" w:color="E8E0E0" w:sz="4"/>
          <w:insideH w:val="single" w:color="E8E0E0" w:sz="4"/>
          <w:insideV w:val="single" w:color="E8E0E0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26%"/>
            <w:shd w:fill="1C254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Forretningsevne</w:t>
            </w:r>
          </w:p>
        </w:tc>
        <w:tc>
          <w:tcPr>
            <w:tcW w:type="pct" w:w="37%"/>
            <w:shd w:fill="1C254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 dag</w:t>
            </w:r>
          </w:p>
        </w:tc>
        <w:tc>
          <w:tcPr>
            <w:tcW w:type="pct" w:w="37%"/>
            <w:shd w:fill="1C254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Målbillede</w:t>
            </w:r>
          </w:p>
        </w:tc>
      </w:tr>
      <w:tr>
        <w:tc>
          <w:tcPr>
            <w:tcW w:type="pct" w:w="26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Økonomi</w:t>
            </w:r>
          </w:p>
        </w:tc>
        <w:tc>
          <w:tcPr>
            <w:tcW w:type="pct" w:w="37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Tre ERP-systemer</w:t>
            </w:r>
          </w:p>
        </w:tc>
        <w:tc>
          <w:tcPr>
            <w:tcW w:type="pct" w:w="37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Ét fælles ERP</w:t>
            </w:r>
          </w:p>
        </w:tc>
      </w:tr>
      <w:tr>
        <w:tc>
          <w:tcPr>
            <w:tcW w:type="pct" w:w="26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Integration</w:t>
            </w:r>
          </w:p>
        </w:tc>
        <w:tc>
          <w:tcPr>
            <w:tcW w:type="pct" w:w="37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Punkt til punkt</w:t>
            </w:r>
          </w:p>
        </w:tc>
        <w:tc>
          <w:tcPr>
            <w:tcW w:type="pct" w:w="37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Fælles integrationsplatform</w:t>
            </w:r>
          </w:p>
        </w:tc>
      </w:tr>
      <w:tr>
        <w:tc>
          <w:tcPr>
            <w:tcW w:type="pct" w:w="26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/>
            </w:r>
          </w:p>
        </w:tc>
        <w:tc>
          <w:tcPr>
            <w:tcW w:type="pct" w:w="37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/>
            </w:r>
          </w:p>
        </w:tc>
        <w:tc>
          <w:tcPr>
            <w:tcW w:type="pct" w:w="37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26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/>
            </w:r>
          </w:p>
        </w:tc>
        <w:tc>
          <w:tcPr>
            <w:tcW w:type="pct" w:w="37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/>
            </w:r>
          </w:p>
        </w:tc>
        <w:tc>
          <w:tcPr>
            <w:tcW w:type="pct" w:w="37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360"/>
      </w:pPr>
      <w:r>
        <w:rPr>
          <w:rFonts w:ascii="Calibri" w:cs="Calibri" w:eastAsia="Calibri" w:hAnsi="Calibri"/>
          <w:b/>
          <w:bCs/>
          <w:color w:val="2D1A1A"/>
          <w:sz w:val="30"/>
          <w:szCs w:val="30"/>
        </w:rPr>
        <w:t xml:space="preserve">5. Roadmap i etaper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6B5F5F"/>
          <w:sz w:val="19"/>
          <w:szCs w:val="19"/>
        </w:rPr>
        <w:t xml:space="preserve">Spørgsmål: </w:t>
      </w:r>
      <w:r>
        <w:rPr>
          <w:rFonts w:ascii="Calibri" w:cs="Calibri" w:eastAsia="Calibri" w:hAnsi="Calibri"/>
          <w:i/>
          <w:iCs/>
          <w:color w:val="6B5F5F"/>
          <w:sz w:val="19"/>
          <w:szCs w:val="19"/>
        </w:rPr>
        <w:t xml:space="preserve">Hvad gør vi først og hvad får forretningen ud af hver etape?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CC2222"/>
          <w:sz w:val="19"/>
          <w:szCs w:val="19"/>
        </w:rPr>
        <w:t xml:space="preserve">Typisk fejl: </w:t>
      </w:r>
      <w:r>
        <w:rPr>
          <w:rFonts w:ascii="Calibri" w:cs="Calibri" w:eastAsia="Calibri" w:hAnsi="Calibri"/>
          <w:i/>
          <w:iCs/>
          <w:color w:val="CC2222"/>
          <w:sz w:val="19"/>
          <w:szCs w:val="19"/>
        </w:rPr>
        <w:t xml:space="preserve">Værdien kommer først i sidste etape.</w:t>
      </w:r>
    </w:p>
    <w:tbl>
      <w:tblPr>
        <w:tblW w:type="pct" w:w="100%"/>
        <w:tblBorders>
          <w:top w:val="single" w:color="E8E0E0" w:sz="4"/>
          <w:left w:val="single" w:color="E8E0E0" w:sz="4"/>
          <w:bottom w:val="single" w:color="E8E0E0" w:sz="4"/>
          <w:right w:val="single" w:color="E8E0E0" w:sz="4"/>
          <w:insideH w:val="single" w:color="E8E0E0" w:sz="4"/>
          <w:insideV w:val="single" w:color="E8E0E0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10%"/>
            <w:shd w:fill="1C254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Etape</w:t>
            </w:r>
          </w:p>
        </w:tc>
        <w:tc>
          <w:tcPr>
            <w:tcW w:type="pct" w:w="34%"/>
            <w:shd w:fill="1C254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Indhold</w:t>
            </w:r>
          </w:p>
        </w:tc>
        <w:tc>
          <w:tcPr>
            <w:tcW w:type="pct" w:w="32%"/>
            <w:shd w:fill="1C254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Værdi for forretningen</w:t>
            </w:r>
          </w:p>
        </w:tc>
        <w:tc>
          <w:tcPr>
            <w:tcW w:type="pct" w:w="24%"/>
            <w:shd w:fill="1C254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Beslutningspunkt</w:t>
            </w:r>
          </w:p>
        </w:tc>
      </w:tr>
      <w:tr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1</w:t>
            </w:r>
          </w:p>
        </w:tc>
        <w:tc>
          <w:tcPr>
            <w:tcW w:type="pct" w:w="34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/>
            </w:r>
          </w:p>
        </w:tc>
        <w:tc>
          <w:tcPr>
            <w:tcW w:type="pct" w:w="3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/>
            </w:r>
          </w:p>
        </w:tc>
        <w:tc>
          <w:tcPr>
            <w:tcW w:type="pct" w:w="24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2</w:t>
            </w:r>
          </w:p>
        </w:tc>
        <w:tc>
          <w:tcPr>
            <w:tcW w:type="pct" w:w="34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/>
            </w:r>
          </w:p>
        </w:tc>
        <w:tc>
          <w:tcPr>
            <w:tcW w:type="pct" w:w="3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/>
            </w:r>
          </w:p>
        </w:tc>
        <w:tc>
          <w:tcPr>
            <w:tcW w:type="pct" w:w="24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3</w:t>
            </w:r>
          </w:p>
        </w:tc>
        <w:tc>
          <w:tcPr>
            <w:tcW w:type="pct" w:w="34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/>
            </w:r>
          </w:p>
        </w:tc>
        <w:tc>
          <w:tcPr>
            <w:tcW w:type="pct" w:w="3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/>
            </w:r>
          </w:p>
        </w:tc>
        <w:tc>
          <w:tcPr>
            <w:tcW w:type="pct" w:w="24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360"/>
      </w:pPr>
      <w:r>
        <w:rPr>
          <w:rFonts w:ascii="Calibri" w:cs="Calibri" w:eastAsia="Calibri" w:hAnsi="Calibri"/>
          <w:b/>
          <w:bCs/>
          <w:color w:val="2D1A1A"/>
          <w:sz w:val="30"/>
          <w:szCs w:val="30"/>
        </w:rPr>
        <w:t xml:space="preserve">6. Ejerskab og opfølgning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6B5F5F"/>
          <w:sz w:val="19"/>
          <w:szCs w:val="19"/>
        </w:rPr>
        <w:t xml:space="preserve">Spørgsmål: </w:t>
      </w:r>
      <w:r>
        <w:rPr>
          <w:rFonts w:ascii="Calibri" w:cs="Calibri" w:eastAsia="Calibri" w:hAnsi="Calibri"/>
          <w:i/>
          <w:iCs/>
          <w:color w:val="6B5F5F"/>
          <w:sz w:val="19"/>
          <w:szCs w:val="19"/>
        </w:rPr>
        <w:t xml:space="preserve">Hvem ejer strategien, hvem bruger den i arkitekturbeslutninger og hvornår bliver den revideret?</w:t>
      </w:r>
    </w:p>
    <w:p>
      <w:pPr>
        <w:spacing w:after="240"/>
      </w:pPr>
      <w:r>
        <w:rPr>
          <w:rFonts w:ascii="Calibri" w:cs="Calibri" w:eastAsia="Calibri" w:hAnsi="Calibri"/>
          <w:color w:val="9A9090"/>
          <w:sz w:val="22"/>
          <w:szCs w:val="22"/>
        </w:rPr>
        <w:t xml:space="preserve">[Skriv her]</w:t>
      </w:r>
    </w:p>
    <w:sectPr>
      <w:footerReference w:type="default" r:id="rId7"/>
      <w:pgSz w:w="11906" w:h="16838" w:orient="portrait"/>
      <w:pgMar w:top="1100" w:right="1200" w:bottom="11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9A9090"/>
        <w:sz w:val="16"/>
        <w:szCs w:val="16"/>
      </w:rPr>
      <w:t xml:space="preserve">Skabelon fra We Lead Projects · weleadprojects.com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 Lead Projects</dc:creator>
  <cp:lastModifiedBy>Un-named</cp:lastModifiedBy>
  <cp:revision>1</cp:revision>
  <dcterms:created xsi:type="dcterms:W3CDTF">2026-10-24T09:46:21.825Z</dcterms:created>
  <dcterms:modified xsi:type="dcterms:W3CDTF">2026-10-24T09:46:21.825Z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